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3442970</wp:posOffset>
                </wp:positionH>
                <wp:positionV relativeFrom="paragraph">
                  <wp:posOffset>301625</wp:posOffset>
                </wp:positionV>
                <wp:extent cx="2345690" cy="459105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690" cy="459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微软雅黑" w:hAnsi="微软雅黑" w:eastAsia="微软雅黑" w:cs="微软雅黑"/>
                                <w:color w:val="262626" w:themeColor="text1" w:themeTint="D9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262626" w:themeColor="text1" w:themeTint="D9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  <w:t>2024/5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1.1pt;margin-top:23.75pt;height:36.15pt;width:184.7pt;z-index:251664384;mso-width-relative:page;mso-height-relative:page;" filled="f" stroked="f" coordsize="21600,21600" o:gfxdata="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7VlzVtsAAAAKAQAADwAAAAAAAAABACAAAAAiAAAA&#10;ZHJzL2Rvd25yZXYueG1sUEsBAhQAFAAAAAgAh07iQB+iccg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微软雅黑" w:hAnsi="微软雅黑" w:eastAsia="微软雅黑" w:cs="微软雅黑"/>
                          <w:color w:val="262626" w:themeColor="text1" w:themeTint="D9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262626" w:themeColor="text1" w:themeTint="D9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  <w:t>2024/5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3442970</wp:posOffset>
                </wp:positionH>
                <wp:positionV relativeFrom="paragraph">
                  <wp:posOffset>7966710</wp:posOffset>
                </wp:positionV>
                <wp:extent cx="2345690" cy="45910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690" cy="459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微软雅黑" w:hAnsi="微软雅黑" w:eastAsia="微软雅黑" w:cs="微软雅黑"/>
                                <w:color w:val="262626" w:themeColor="text1" w:themeTint="D9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1.1pt;margin-top:627.3pt;height:36.15pt;width:184.7pt;z-index:251662336;mso-width-relative:page;mso-height-relative:page;" filled="f" stroked="f" coordsize="21600,21600" o:gfxdata="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OJIOj/dAAAADQEAAA8AAAAAAAAAAQAgAAAAIgAA&#10;AGRycy9kb3ducmV2LnhtbFBLAQIUABQAAAAIAIdO4kAZEvjSPAIAAGg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微软雅黑" w:hAnsi="微软雅黑" w:eastAsia="微软雅黑" w:cs="微软雅黑"/>
                          <w:color w:val="262626" w:themeColor="text1" w:themeTint="D9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-843280</wp:posOffset>
                </wp:positionH>
                <wp:positionV relativeFrom="paragraph">
                  <wp:posOffset>-631190</wp:posOffset>
                </wp:positionV>
                <wp:extent cx="5154295" cy="10114280"/>
                <wp:effectExtent l="0" t="0" r="12065" b="5080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9705" y="283210"/>
                          <a:ext cx="5154295" cy="1011428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66.4pt;margin-top:-49.7pt;height:796.4pt;width:405.85pt;z-index:251660288;v-text-anchor:middle;mso-width-relative:page;mso-height-relative:page;" fillcolor="#7DDFD7 [1944]" filled="t" stroked="f" coordsize="21600,21600" o:gfxdata="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hint="eastAsia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1134745</wp:posOffset>
                </wp:positionH>
                <wp:positionV relativeFrom="paragraph">
                  <wp:posOffset>8769350</wp:posOffset>
                </wp:positionV>
                <wp:extent cx="3129915" cy="459105"/>
                <wp:effectExtent l="0" t="0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9915" cy="459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微软雅黑" w:hAnsi="微软雅黑" w:eastAsia="微软雅黑" w:cs="微软雅黑"/>
                                <w:color w:val="595959" w:themeColor="text1" w:themeTint="A6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595959" w:themeColor="text1" w:themeTint="A6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佛山市枫莱尔自动化技术有限公司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9.35pt;margin-top:690.5pt;height:36.15pt;width:246.45pt;z-index:251663360;mso-width-relative:page;mso-height-relative:page;" filled="f" stroked="f" coordsize="21600,21600" o:gfxdata="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7CIyn3QAAAA0BAAAPAAAAAAAAAAEAIAAAACIA&#10;AABkcnMvZG93bnJldi54bWxQSwECFAAUAAAACACHTuJAnfLJAz0CAABo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微软雅黑" w:hAnsi="微软雅黑" w:eastAsia="微软雅黑" w:cs="微软雅黑"/>
                          <w:color w:val="595959" w:themeColor="text1" w:themeTint="A6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595959" w:themeColor="text1" w:themeTint="A6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佛山市枫莱尔自动化技术有限公司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-195580</wp:posOffset>
                </wp:positionH>
                <wp:positionV relativeFrom="paragraph">
                  <wp:posOffset>3157855</wp:posOffset>
                </wp:positionV>
                <wp:extent cx="4458970" cy="1849120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8970" cy="1849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微软雅黑" w:hAnsi="微软雅黑" w:eastAsia="微软雅黑" w:cs="微软雅黑"/>
                                <w:b w:val="0"/>
                                <w:bCs w:val="0"/>
                                <w:color w:val="FFFFFF" w:themeColor="background1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FF" w:themeColor="background1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FLYAD(B2版)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FF" w:themeColor="background1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br w:type="textWrapping"/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FFFFF" w:themeColor="background1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数据采集器使用说明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5.4pt;margin-top:248.65pt;height:145.6pt;width:351.1pt;z-index:251661312;mso-width-relative:page;mso-height-relative:page;" filled="f" stroked="f" coordsize="21600,21600" o:gfxdata="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U/vuf3QAAAAsBAAAPAAAAAAAAAAEAIAAA&#10;ACIAAABkcnMvZG93bnJldi54bWxQSwECFAAUAAAACACHTuJACAma50ACAABpBAAADgAAAAAAAAAB&#10;ACAAAAAs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微软雅黑" w:hAnsi="微软雅黑" w:eastAsia="微软雅黑" w:cs="微软雅黑"/>
                          <w:b w:val="0"/>
                          <w:bCs w:val="0"/>
                          <w:color w:val="FFFFFF" w:themeColor="background1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FF" w:themeColor="background1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FLYAD(B2版)</w:t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FF" w:themeColor="background1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br w:type="textWrapping"/>
                      </w: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FFFFF" w:themeColor="background1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数据采集器使用说明</w:t>
                      </w:r>
                    </w:p>
                  </w:txbxContent>
                </v:textbox>
              </v:shape>
            </w:pict>
          </mc:Fallback>
        </mc:AlternateContent>
      </w:r>
    </w:p>
    <w:sdt>
      <w:sdtPr>
        <w:rPr>
          <w:rFonts w:ascii="宋体" w:hAnsi="宋体" w:eastAsia="宋体" w:cstheme="minorBidi"/>
          <w:b/>
          <w:bCs/>
          <w:kern w:val="2"/>
          <w:sz w:val="72"/>
          <w:szCs w:val="72"/>
          <w:lang w:val="en-US" w:eastAsia="zh-CN" w:bidi="ar-SA"/>
        </w:rPr>
        <w:id w:val="147465813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b/>
              <w:bCs/>
              <w:sz w:val="72"/>
              <w:szCs w:val="72"/>
            </w:rPr>
          </w:pPr>
          <w:r>
            <w:rPr>
              <w:rFonts w:ascii="宋体" w:hAnsi="宋体" w:eastAsia="宋体"/>
              <w:b/>
              <w:bCs/>
              <w:sz w:val="72"/>
              <w:szCs w:val="72"/>
            </w:rPr>
            <w:t>目录</w:t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TOC \o "1-1" \h \u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_Toc25061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一.功能简介</w:t>
          </w:r>
          <w:r>
            <w:tab/>
          </w:r>
          <w:r>
            <w:fldChar w:fldCharType="begin"/>
          </w:r>
          <w:r>
            <w:instrText xml:space="preserve"> PAGEREF _Toc25061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_Toc29603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二.接口定义</w:t>
          </w:r>
          <w:r>
            <w:tab/>
          </w:r>
          <w:r>
            <w:fldChar w:fldCharType="begin"/>
          </w:r>
          <w:r>
            <w:instrText xml:space="preserve"> PAGEREF _Toc29603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_Toc10298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三.OLED屏操作</w:t>
          </w:r>
          <w:r>
            <w:tab/>
          </w:r>
          <w:r>
            <w:fldChar w:fldCharType="begin"/>
          </w:r>
          <w:r>
            <w:instrText xml:space="preserve"> PAGEREF _Toc10298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_Toc14065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四.TCP转串口模块设置</w:t>
          </w:r>
          <w:r>
            <w:tab/>
          </w:r>
          <w:r>
            <w:fldChar w:fldCharType="begin"/>
          </w:r>
          <w:r>
            <w:instrText xml:space="preserve"> PAGEREF _Toc14065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_Toc1930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五.AD2021.B2.TestApp调试软件使用</w:t>
          </w:r>
          <w:r>
            <w:tab/>
          </w:r>
          <w:r>
            <w:fldChar w:fldCharType="begin"/>
          </w:r>
          <w:r>
            <w:instrText xml:space="preserve"> PAGEREF _Toc1930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_Toc22769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六.AD盒协议</w:t>
          </w:r>
          <w:r>
            <w:tab/>
          </w:r>
          <w:r>
            <w:fldChar w:fldCharType="begin"/>
          </w:r>
          <w:r>
            <w:instrText xml:space="preserve"> PAGEREF _Toc22769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rPr>
              <w:rFonts w:hint="eastAsia"/>
              <w:lang w:val="en-US" w:eastAsia="zh-CN"/>
            </w:rPr>
          </w:pPr>
          <w:r>
            <w:rPr>
              <w:rFonts w:hint="eastAsia"/>
              <w:lang w:val="en-US" w:eastAsia="zh-CN"/>
            </w:rPr>
            <w:fldChar w:fldCharType="end"/>
          </w:r>
        </w:p>
      </w:sdtContent>
    </w:sdt>
    <w:p>
      <w:pPr>
        <w:pStyle w:val="3"/>
        <w:bidi w:val="0"/>
        <w:outlineLvl w:val="9"/>
        <w:rPr>
          <w:rFonts w:hint="eastAsia"/>
          <w:lang w:val="en-US" w:eastAsia="zh-CN"/>
        </w:rPr>
      </w:pPr>
    </w:p>
    <w:p>
      <w:pPr>
        <w:pStyle w:val="2"/>
        <w:bidi w:val="0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  <w:bookmarkStart w:id="6" w:name="_GoBack"/>
      <w:bookmarkEnd w:id="6"/>
    </w:p>
    <w:p>
      <w:pPr>
        <w:pStyle w:val="2"/>
        <w:bidi w:val="0"/>
        <w:rPr>
          <w:rFonts w:hint="eastAsia"/>
          <w:lang w:val="en-US" w:eastAsia="zh-CN"/>
        </w:rPr>
      </w:pPr>
      <w:bookmarkStart w:id="0" w:name="_Toc25061"/>
      <w:r>
        <w:rPr>
          <w:rFonts w:hint="eastAsia"/>
          <w:lang w:val="en-US" w:eastAsia="zh-CN"/>
        </w:rPr>
        <w:t>一.功能简介</w:t>
      </w:r>
      <w:bookmarkEnd w:id="0"/>
    </w:p>
    <w:p>
      <w:pPr>
        <w:rPr>
          <w:rFonts w:hint="default"/>
          <w:lang w:val="en-US"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8255" b="0"/>
            <wp:docPr id="1" name="图片 1" descr="ebf95e38f6900ce69731891d57b47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bf95e38f6900ce69731891d57b47e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可以外接1路 422 / 485，等于TCP 转 串口功能，通常用于接X射线发生器</w:t>
      </w:r>
    </w:p>
    <w:p>
      <w:pPr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2路 模拟量电流采集 0~20mA。 16位，1ms间隔推送数据。</w:t>
      </w:r>
    </w:p>
    <w:p>
      <w:pPr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16路NPN输入，8路NPN输出</w:t>
      </w:r>
    </w:p>
    <w:p>
      <w:pPr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2路 差分编码采集。32位。</w:t>
      </w:r>
    </w:p>
    <w:p>
      <w:pPr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1路 脉冲输出。 与 1路编码采集组合 控制 伺服机电 或 步进电机</w:t>
      </w:r>
    </w:p>
    <w:p>
      <w:pPr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TCP通讯。最高通讯速度 20Kbyte/s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2"/>
        <w:bidi w:val="0"/>
        <w:rPr>
          <w:rFonts w:hint="eastAsia"/>
          <w:lang w:val="en-US" w:eastAsia="zh-CN"/>
        </w:rPr>
      </w:pPr>
      <w:bookmarkStart w:id="1" w:name="_Toc29603"/>
      <w:r>
        <w:rPr>
          <w:rFonts w:hint="eastAsia"/>
          <w:lang w:val="en-US" w:eastAsia="zh-CN"/>
        </w:rPr>
        <w:t>二.接口定义</w:t>
      </w:r>
      <w:bookmarkEnd w:id="1"/>
    </w:p>
    <w:tbl>
      <w:tblPr>
        <w:tblW w:w="9180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96"/>
        <w:gridCol w:w="1041"/>
        <w:gridCol w:w="723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9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类型</w:t>
            </w:r>
          </w:p>
        </w:tc>
        <w:tc>
          <w:tcPr>
            <w:tcW w:w="9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接口名称</w:t>
            </w:r>
          </w:p>
        </w:tc>
        <w:tc>
          <w:tcPr>
            <w:tcW w:w="72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功能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电源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24V输入</w:t>
            </w:r>
          </w:p>
        </w:tc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左下脚为电源输入，有二极管作防反接处理。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0V输入</w:t>
            </w: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24V输出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与24V输入之间有二极管，300mA保险丝，大约有1V压差。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0V输出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与0V输入直连，没有压差。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5V输出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有300mA保险丝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输出口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Y0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NPN输出口， 写0，拉低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Y1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没有特殊功能定义，只是NPN输出口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Y2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没有特殊功能定义，只是NPN输出口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Y3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没有特殊功能定义，只是NPN输出口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Y4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没有特殊功能定义，只是NPN输出口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Y5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没有特殊功能定义，只是NPN输出口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Y6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没有特殊功能定义，只是NPN输出口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Y7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没有特殊功能定义，只是NPN输出口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输入口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X0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NPN输入口，被拉低，程序读到0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X1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没有特殊功能定义，只是NPN输入口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X2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没有特殊功能定义，只是NPN输入口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X3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没有特殊功能定义，只是NPN输入口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X4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没有特殊功能定义，只是NPN输入口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X5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没有特殊功能定义，只是NPN输入口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X6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手动正向运行；当X6,X7同时被拉低，为急停，不能通过通讯输出脉冲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X7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手动反向运行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X8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没有特殊功能定义，只是NPN输入口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X9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没有特殊功能定义，只是NPN输入口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X10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没有特殊功能定义，只是NPN输入口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X11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没有特殊功能定义，只是NPN输入口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X12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归零信号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X13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正向限位, 正向为脉冲变大方向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X14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没有特殊功能定义，只是NPN输入口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X15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反向限位, 反向为脉冲变小方向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伺服控制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B1+</w:t>
            </w:r>
          </w:p>
        </w:tc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差分信号编码器输入， 接伺服控制器的位置输出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对应 pos0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B1-</w:t>
            </w: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A1-</w:t>
            </w: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A1+</w:t>
            </w: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PU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PULSE, 脉冲输出，通过通讯输出脉冲 给伺服控制器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SI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SIGN, 方向输出，通过通讯输出方向 给伺服控制器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编码器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B2+</w:t>
            </w:r>
          </w:p>
        </w:tc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差分信号编码器输入，用于接测辊转速度的编码器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对应 pos1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B2-</w:t>
            </w: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A2-</w:t>
            </w: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A2+</w:t>
            </w:r>
          </w:p>
        </w:tc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422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TX+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也是485 的A, 串口配置，通过 8800端口设置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TX-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也是485 的B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RX+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RX-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6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电流采集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AD1</w:t>
            </w:r>
          </w:p>
        </w:tc>
        <w:tc>
          <w:tcPr>
            <w:tcW w:w="723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0~20mA 采集，拧电位器，可以调节端口到芯片的放大倍数。 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长按 TEST1,内部使用2K把24V与AD1端口接在一起，用于方便测试端口。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AD1 对应 ad0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AD2 对应 ad1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AD2</w:t>
            </w:r>
          </w:p>
        </w:tc>
        <w:tc>
          <w:tcPr>
            <w:tcW w:w="723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网络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LAN</w:t>
            </w:r>
          </w:p>
        </w:tc>
        <w:tc>
          <w:tcPr>
            <w:tcW w:w="72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连接到网络。 内部为一个TCP转2路串口模块。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AD盒使用C1串口。波特率230400,8N1</w:t>
            </w:r>
          </w:p>
        </w:tc>
      </w:tr>
    </w:tbl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bidi w:val="0"/>
        <w:rPr>
          <w:rFonts w:hint="eastAsia"/>
          <w:lang w:val="en-US" w:eastAsia="zh-CN"/>
        </w:rPr>
      </w:pPr>
      <w:bookmarkStart w:id="2" w:name="_Toc10298"/>
      <w:r>
        <w:rPr>
          <w:rFonts w:hint="eastAsia"/>
          <w:lang w:val="en-US" w:eastAsia="zh-CN"/>
        </w:rPr>
        <w:t>三.OLED屏操作</w:t>
      </w:r>
      <w:bookmarkEnd w:id="2"/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按键说明</w:t>
      </w:r>
    </w:p>
    <w:tbl>
      <w:tblPr>
        <w:tblW w:w="1944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2"/>
        <w:gridCol w:w="97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9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Calibri" w:hAnsi="Calibri" w:eastAsia="宋体" w:cs="Calibri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none" w:color="auto" w:sz="0" w:space="0"/>
                <w:lang w:val="en-US" w:eastAsia="zh-CN" w:bidi="ar"/>
              </w:rPr>
              <w:t>Esc</w:t>
            </w:r>
          </w:p>
        </w:tc>
        <w:tc>
          <w:tcPr>
            <w:tcW w:w="9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none" w:color="auto" w:sz="0" w:space="0"/>
                <w:lang w:val="en-US" w:eastAsia="zh-CN" w:bidi="ar"/>
              </w:rPr>
              <w:t>后退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default" w:ascii="Calibri" w:hAnsi="Calibri" w:eastAsia="宋体" w:cs="Calibri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none" w:color="auto" w:sz="0" w:space="0"/>
                <w:lang w:val="en-US" w:eastAsia="zh-CN" w:bidi="ar"/>
              </w:rPr>
              <w:t>Enter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none" w:color="auto" w:sz="0" w:space="0"/>
                <w:lang w:val="en-US" w:eastAsia="zh-CN" w:bidi="ar"/>
              </w:rPr>
              <w:t>确认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none" w:color="auto" w:sz="0" w:space="0"/>
                <w:lang w:val="en-US" w:eastAsia="zh-CN" w:bidi="ar"/>
              </w:rPr>
              <w:t>↑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none" w:color="auto" w:sz="0" w:space="0"/>
                <w:lang w:val="en-US" w:eastAsia="zh-CN" w:bidi="ar"/>
              </w:rPr>
              <w:t>左移位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none" w:color="auto" w:sz="0" w:space="0"/>
                <w:lang w:val="en-US" w:eastAsia="zh-CN" w:bidi="ar"/>
              </w:rPr>
              <w:t>↓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下一项</w:t>
            </w:r>
          </w:p>
        </w:tc>
      </w:tr>
    </w:tbl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上电，会直接进入了 /Dynarea/Dislay/Datas 数据页,</w:t>
      </w:r>
    </w:p>
    <w:tbl>
      <w:tblPr>
        <w:tblW w:w="2364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6"/>
        <w:gridCol w:w="5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836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Datas</w:t>
            </w:r>
          </w:p>
        </w:tc>
        <w:tc>
          <w:tcPr>
            <w:tcW w:w="528" w:type="dxa"/>
            <w:tcBorders>
              <w:top w:val="single" w:color="000000" w:sz="8" w:space="0"/>
              <w:left w:val="nil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&lt;D&gt;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*1.ad0:0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 2.pos0:0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 5.ad1:0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3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 6.pos1:0</w:t>
            </w:r>
          </w:p>
        </w:tc>
      </w:tr>
    </w:tbl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按5次【↓】，可以看到 I/O 口状态</w:t>
      </w:r>
    </w:p>
    <w:tbl>
      <w:tblPr>
        <w:tblW w:w="2364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6"/>
        <w:gridCol w:w="5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836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Datas</w:t>
            </w:r>
          </w:p>
        </w:tc>
        <w:tc>
          <w:tcPr>
            <w:tcW w:w="528" w:type="dxa"/>
            <w:tcBorders>
              <w:top w:val="single" w:color="000000" w:sz="8" w:space="0"/>
              <w:left w:val="nil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&lt;D&gt;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*3.In:FFFF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 4.Out:00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3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</w:tbl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按 ESC, 返回到 /Dynarea/Dislay，  看到的 P.Datas 选项，就是刚才的 数据页， 按Enter能进入 数据页</w:t>
      </w:r>
    </w:p>
    <w:tbl>
      <w:tblPr>
        <w:tblW w:w="2364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6"/>
        <w:gridCol w:w="5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836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Display</w:t>
            </w:r>
          </w:p>
        </w:tc>
        <w:tc>
          <w:tcPr>
            <w:tcW w:w="528" w:type="dxa"/>
            <w:tcBorders>
              <w:top w:val="single" w:color="000000" w:sz="8" w:space="0"/>
              <w:left w:val="nil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&lt;D&gt;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*P.Datas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 0.Debug:308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 0.AD1Chk:00000000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3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 0.AD2Chk:00000000</w:t>
            </w:r>
          </w:p>
        </w:tc>
      </w:tr>
    </w:tbl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 /Dynarea/Dislay 再按 ESC， 会回到 /Dynarea</w:t>
      </w:r>
    </w:p>
    <w:tbl>
      <w:tblPr>
        <w:tblW w:w="2364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6"/>
        <w:gridCol w:w="5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836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Dynarea</w:t>
            </w:r>
          </w:p>
        </w:tc>
        <w:tc>
          <w:tcPr>
            <w:tcW w:w="528" w:type="dxa"/>
            <w:tcBorders>
              <w:top w:val="single" w:color="000000" w:sz="8" w:space="0"/>
              <w:left w:val="nil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&lt;D&gt;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*P.Display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3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</w:tbl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 /Dynarea 按 ESC, 会切换到 /Settings,   /Dynarea 与 /Settings 都是一级菜单， ESC只是不断切换一级菜单。</w:t>
      </w:r>
    </w:p>
    <w:tbl>
      <w:tblPr>
        <w:tblW w:w="2364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6"/>
        <w:gridCol w:w="5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836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Settings</w:t>
            </w:r>
          </w:p>
        </w:tc>
        <w:tc>
          <w:tcPr>
            <w:tcW w:w="528" w:type="dxa"/>
            <w:tcBorders>
              <w:top w:val="single" w:color="000000" w:sz="8" w:space="0"/>
              <w:left w:val="nil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&lt;S&gt;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*P.Params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3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</w:tbl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/Settings/Params  是AD盒全部参数， 可以通过通讯设置。（</w:t>
      </w:r>
      <w:r>
        <w:rPr>
          <w:rFonts w:hint="eastAsia"/>
          <w:color w:val="FF0000"/>
          <w:lang w:val="en-US" w:eastAsia="zh-CN"/>
        </w:rPr>
        <w:t>注：不应该在这里设置参数</w:t>
      </w:r>
      <w:r>
        <w:rPr>
          <w:rFonts w:hint="eastAsia"/>
          <w:lang w:val="en-US" w:eastAsia="zh-CN"/>
        </w:rPr>
        <w:t>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tbl>
      <w:tblPr>
        <w:tblW w:w="2364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6"/>
        <w:gridCol w:w="5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836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Params</w:t>
            </w:r>
          </w:p>
        </w:tc>
        <w:tc>
          <w:tcPr>
            <w:tcW w:w="528" w:type="dxa"/>
            <w:tcBorders>
              <w:top w:val="single" w:color="000000" w:sz="8" w:space="0"/>
              <w:left w:val="nil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&lt;S&gt;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*1.On_Mode:OE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 2.Pul_Mot:4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 3.Pul_Enc:1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3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 xml:space="preserve"> 4.P1_Shift:0</w:t>
            </w:r>
          </w:p>
        </w:tc>
      </w:tr>
    </w:tbl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On_Mode 是驱动电机类型，只能是0E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Pul_Mot, Pul_Enc, 一起设置脉冲输出比例。  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Pul_Mot:4, Pul_Enc:1 为 AD盒输出4个脉冲， 编码器返回 1个脉冲。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P1_Shift  pos1 偏移量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tbl>
      <w:tblPr>
        <w:tblW w:w="2364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6"/>
        <w:gridCol w:w="5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836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Params</w:t>
            </w:r>
          </w:p>
        </w:tc>
        <w:tc>
          <w:tcPr>
            <w:tcW w:w="528" w:type="dxa"/>
            <w:tcBorders>
              <w:top w:val="single" w:color="000000" w:sz="8" w:space="0"/>
              <w:left w:val="nil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&lt;S&gt;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*5.JOG_Spd:1000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3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</w:tbl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JOG_Spd,  触发X6,X7时的手动状态 脉冲输出速度。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 参数页， 按Enter，进入对应项的设置页（</w:t>
      </w:r>
      <w:r>
        <w:rPr>
          <w:rFonts w:hint="eastAsia"/>
          <w:color w:val="FF0000"/>
          <w:lang w:val="en-US" w:eastAsia="zh-CN"/>
        </w:rPr>
        <w:t>注：</w:t>
      </w:r>
      <w:r>
        <w:rPr>
          <w:rFonts w:hint="eastAsia"/>
          <w:color w:val="FF0000"/>
          <w:lang w:val="en-US" w:eastAsia="zh-CN"/>
        </w:rPr>
        <w:t>不应该在这里设置参数</w:t>
      </w:r>
      <w:r>
        <w:rPr>
          <w:rFonts w:hint="eastAsia"/>
          <w:lang w:val="en-US" w:eastAsia="zh-CN"/>
        </w:rPr>
        <w:t>）</w:t>
      </w:r>
    </w:p>
    <w:tbl>
      <w:tblPr>
        <w:tblW w:w="2364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6"/>
        <w:gridCol w:w="52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836" w:type="dxa"/>
            <w:tcBorders>
              <w:top w:val="single" w:color="000000" w:sz="8" w:space="0"/>
              <w:left w:val="single" w:color="000000" w:sz="8" w:space="0"/>
              <w:bottom w:val="nil"/>
              <w:right w:val="nil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JOG_Spd</w:t>
            </w:r>
          </w:p>
        </w:tc>
        <w:tc>
          <w:tcPr>
            <w:tcW w:w="528" w:type="dxa"/>
            <w:tcBorders>
              <w:top w:val="single" w:color="000000" w:sz="8" w:space="0"/>
              <w:left w:val="nil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+000001000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3" w:hRule="atLeast"/>
        </w:trPr>
        <w:tc>
          <w:tcPr>
            <w:tcW w:w="0" w:type="auto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</w:tbl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↑  左移位，  ↓改变对应位的值，  Enter确定， ESC 取消退出。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br w:type="textWrapping"/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2"/>
        <w:bidi w:val="0"/>
        <w:rPr>
          <w:rFonts w:hint="eastAsia"/>
          <w:lang w:val="en-US" w:eastAsia="zh-CN"/>
        </w:rPr>
      </w:pPr>
      <w:bookmarkStart w:id="3" w:name="_Toc14065"/>
      <w:r>
        <w:rPr>
          <w:rFonts w:hint="eastAsia"/>
          <w:lang w:val="en-US" w:eastAsia="zh-CN"/>
        </w:rPr>
        <w:t>四.TCP转串口模块设置</w:t>
      </w:r>
      <w:bookmarkEnd w:id="3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网口上方有 LAN-RES小孔，用于初始化TCP转串口模块。 上电同时按点LAN-RES 会执行初始化。初始化后，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IP地址为 192.168.251.12,  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通道0 (外部422) 端口:20021, 波特率115200，8N1, 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通道1 (AD盒) 端口:20020, 波特率115200，8N1, 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注：不要随便点LAN-RES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发货时，已经设置好端口，与参数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X射线发生器是 485 ModbusASCII,  波特率 19200， 8N1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AD盒是 7E协议， 波特率 230400， 8N1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点了LAN-RES, 需要手动再次设置上次的参数，才能通讯。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使用任何的网络调试软件，都能设置</w:t>
      </w:r>
    </w:p>
    <w:p>
      <w:r>
        <w:rPr>
          <w:rFonts w:hint="eastAsia"/>
          <w:lang w:val="en-US" w:eastAsia="zh-CN"/>
        </w:rPr>
        <w:t xml:space="preserve">连接 TCP Client, 192.168.251.12:8800,  发送 :? 0d 0a   (0d,0a为回车键)  </w:t>
      </w:r>
      <w:r>
        <w:drawing>
          <wp:inline distT="0" distB="0" distL="114300" distR="114300">
            <wp:extent cx="4098925" cy="5113020"/>
            <wp:effectExtent l="0" t="0" r="635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98925" cy="511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模块会回复全部参数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C0 为 通道0(422)， C1 为通道1(AD盒)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发送下面 指令（就是从调试软件的接收复制过来修改） 每行必须有回车换行</w:t>
      </w:r>
    </w:p>
    <w:p>
      <w:pPr>
        <w:rPr>
          <w:rFonts w:hint="default"/>
          <w:lang w:val="en-US" w:eastAsia="zh-CN"/>
        </w:rPr>
      </w:pPr>
    </w:p>
    <w:p>
      <w:pPr>
        <w:rPr>
          <w:rFonts w:hint="eastAsia" w:ascii="宋体" w:hAnsi="宋体"/>
          <w:sz w:val="18"/>
          <w:szCs w:val="24"/>
          <w:lang w:val="zh-CN"/>
        </w:rPr>
      </w:pPr>
      <w:r>
        <w:rPr>
          <w:rFonts w:hint="eastAsia" w:ascii="宋体" w:hAnsi="宋体"/>
          <w:sz w:val="18"/>
          <w:szCs w:val="24"/>
          <w:lang w:val="zh-CN"/>
        </w:rPr>
        <w:t>:C0.Baudrate=1</w:t>
      </w:r>
      <w:r>
        <w:rPr>
          <w:rFonts w:hint="eastAsia" w:ascii="宋体" w:hAnsi="宋体"/>
          <w:sz w:val="18"/>
          <w:szCs w:val="24"/>
          <w:lang w:val="en-US" w:eastAsia="zh-CN"/>
        </w:rPr>
        <w:t>9200</w:t>
      </w:r>
      <w:r>
        <w:rPr>
          <w:rFonts w:hint="eastAsia" w:ascii="宋体" w:hAnsi="宋体"/>
          <w:sz w:val="18"/>
          <w:szCs w:val="24"/>
          <w:lang w:val="zh-CN"/>
        </w:rPr>
        <w:br w:type="textWrapping"/>
      </w:r>
      <w:r>
        <w:rPr>
          <w:rFonts w:hint="eastAsia" w:ascii="宋体" w:hAnsi="宋体"/>
          <w:sz w:val="18"/>
          <w:szCs w:val="24"/>
          <w:lang w:val="zh-CN"/>
        </w:rPr>
        <w:t>:C1.Baudrate=230400</w:t>
      </w:r>
    </w:p>
    <w:p>
      <w:pPr>
        <w:rPr>
          <w:rFonts w:hint="eastAsia" w:ascii="宋体" w:hAnsi="宋体"/>
          <w:sz w:val="18"/>
          <w:szCs w:val="24"/>
          <w:lang w:val="en-US" w:eastAsia="zh-CN"/>
        </w:rPr>
      </w:pPr>
      <w:r>
        <w:rPr>
          <w:rFonts w:hint="eastAsia" w:ascii="宋体" w:hAnsi="宋体"/>
          <w:sz w:val="18"/>
          <w:szCs w:val="24"/>
          <w:lang w:val="en-US" w:eastAsia="zh-CN"/>
        </w:rPr>
        <w:t>:Save</w:t>
      </w:r>
      <w:r>
        <w:rPr>
          <w:rFonts w:hint="eastAsia" w:ascii="宋体" w:hAnsi="宋体"/>
          <w:sz w:val="18"/>
          <w:szCs w:val="24"/>
          <w:lang w:val="en-US" w:eastAsia="zh-CN"/>
        </w:rPr>
        <w:br w:type="textWrapping"/>
      </w:r>
    </w:p>
    <w:p>
      <w:pPr>
        <w:rPr>
          <w:rFonts w:hint="default" w:ascii="宋体" w:hAnsi="宋体"/>
          <w:sz w:val="18"/>
          <w:szCs w:val="24"/>
          <w:lang w:val="en-US" w:eastAsia="zh-CN"/>
        </w:rPr>
      </w:pPr>
      <w:r>
        <w:rPr>
          <w:rFonts w:hint="eastAsia" w:ascii="宋体" w:hAnsi="宋体"/>
          <w:sz w:val="18"/>
          <w:szCs w:val="24"/>
          <w:lang w:val="en-US" w:eastAsia="zh-CN"/>
        </w:rPr>
        <w:t xml:space="preserve">就可以设置 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通道0 (外部422) 波特率19200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通道1 (AD盒) 波特率230400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最后断开，重启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2"/>
        <w:bidi w:val="0"/>
        <w:rPr>
          <w:rFonts w:hint="eastAsia"/>
          <w:lang w:val="en-US" w:eastAsia="zh-CN"/>
        </w:rPr>
      </w:pPr>
      <w:bookmarkStart w:id="4" w:name="_Toc1930"/>
      <w:r>
        <w:rPr>
          <w:rFonts w:hint="eastAsia"/>
          <w:lang w:val="en-US" w:eastAsia="zh-CN"/>
        </w:rPr>
        <w:t>五.AD2021.B2.TestApp调试软件使用</w:t>
      </w:r>
      <w:bookmarkEnd w:id="4"/>
    </w:p>
    <w:p>
      <w:r>
        <w:drawing>
          <wp:inline distT="0" distB="0" distL="114300" distR="114300">
            <wp:extent cx="1836420" cy="251460"/>
            <wp:effectExtent l="0" t="0" r="7620" b="762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3642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1770" cy="5493385"/>
            <wp:effectExtent l="0" t="0" r="1270" b="825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49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输入 IP 地址，按 【连接】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界面会显示AD盒全部数据。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X光 页，为X射线发生器页面。只有高压，与管流设置。 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0500" cy="3252470"/>
            <wp:effectExtent l="0" t="0" r="2540" b="889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5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只要改变了高压 或者管流，就会直接写入到 X射线发生器的控制芯片内，长期保存。</w:t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打开X射线发生器，里面的数码管 会交替显示 高压 与 管流 数值。 与软件显示的内容相同。</w:t>
      </w:r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3147695"/>
            <wp:effectExtent l="0" t="0" r="14605" b="698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14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高压设置值，与当前高压值，会有偏差，是正常的。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2"/>
        <w:bidi w:val="0"/>
        <w:rPr>
          <w:rFonts w:hint="default"/>
          <w:lang w:val="en-US" w:eastAsia="zh-CN"/>
        </w:rPr>
      </w:pPr>
      <w:bookmarkStart w:id="5" w:name="_Toc22769"/>
      <w:r>
        <w:rPr>
          <w:rFonts w:hint="eastAsia"/>
          <w:lang w:val="en-US" w:eastAsia="zh-CN"/>
        </w:rPr>
        <w:t>六.AD盒协议</w:t>
      </w:r>
      <w:bookmarkEnd w:id="5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使用网络调试软件， 连接 20021端口， 以HEX显示 ，能直接看到AD盒推送的数据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（一定要设置好波特率为230400）</w:t>
      </w:r>
    </w:p>
    <w:p>
      <w:r>
        <w:drawing>
          <wp:inline distT="0" distB="0" distL="114300" distR="114300">
            <wp:extent cx="5052060" cy="4183380"/>
            <wp:effectExtent l="0" t="0" r="7620" b="762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52060" cy="418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AD盒协议分两层。 最底层为7E协议， 上层为AD盒逻辑。</w:t>
      </w:r>
    </w:p>
    <w:p>
      <w:p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1.7E协议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7E协议 是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1.以 0x7E 为指令的分割。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2.当指令内有0x7E 数据，需要把0x7E转译为 0x7D,0x5E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3.当指令内有0x7D 数据，需要把0x7D转译为 0x7D,0x5D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例如 原指令是  0x01,0x02,0x7E,0x03,0x04,0x7D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转换后，为 0x7E,0x01,0x02,0x7D,0x5E,0x03,0x04,0x7D,0x5D</w:t>
      </w:r>
    </w:p>
    <w:p>
      <w:pPr>
        <w:rPr>
          <w:rFonts w:hint="default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2.AD盒逻辑协议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AD盒到上位机， 上位机到AD盒的结构是一样的</w:t>
      </w:r>
    </w:p>
    <w:p>
      <w:pPr>
        <w:rPr>
          <w:rFonts w:hint="eastAsia"/>
          <w:lang w:val="en-US" w:eastAsia="zh-CN"/>
        </w:rPr>
      </w:pPr>
    </w:p>
    <w:tbl>
      <w:tblPr>
        <w:tblW w:w="4657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06"/>
        <w:gridCol w:w="1783"/>
        <w:gridCol w:w="166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2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B0(1byte)</w:t>
            </w:r>
          </w:p>
        </w:tc>
        <w:tc>
          <w:tcPr>
            <w:tcW w:w="17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数据段(Nbytes)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CRC8(1byte)</w:t>
            </w:r>
          </w:p>
        </w:tc>
      </w:tr>
    </w:tbl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B0 内</w:t>
      </w:r>
      <w:r>
        <w:rPr>
          <w:rFonts w:hint="eastAsia"/>
          <w:color w:val="FF0000"/>
          <w:lang w:val="en-US" w:eastAsia="zh-CN"/>
        </w:rPr>
        <w:t>最高位</w:t>
      </w:r>
      <w:r>
        <w:rPr>
          <w:rFonts w:hint="eastAsia"/>
          <w:lang w:val="en-US" w:eastAsia="zh-CN"/>
        </w:rPr>
        <w:t>为PT,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PT=0, 数据段为AD盒向上位机推送的数据包。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PT=1, 数据段为AD盒向上位机的功能回复包， 或者上位机向AD盒发送的功能请求包</w:t>
      </w: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当PT=0时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B0的剩余的低7位组合为PN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PN为1ms的7位计数器， 它是数据推送包的时间戳systick。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数据段第1个字节 B1 是数据段剩余数据的内容指示。</w:t>
      </w: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B1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b7：In </w:t>
      </w:r>
      <w:r>
        <w:rPr>
          <w:rFonts w:hint="eastAsia"/>
          <w:lang w:val="en-US" w:eastAsia="zh-CN"/>
        </w:rPr>
        <w:t>(16位输入状态+16位输入改变)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b6：</w:t>
      </w:r>
      <w:r>
        <w:rPr>
          <w:rFonts w:hint="eastAsia"/>
          <w:lang w:val="en-US" w:eastAsia="zh-CN"/>
        </w:rPr>
        <w:t>Pos0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(16位编码器)</w:t>
      </w:r>
      <w:r>
        <w:rPr>
          <w:rFonts w:hint="default"/>
          <w:lang w:val="en-US" w:eastAsia="zh-CN"/>
        </w:rPr>
        <w:t xml:space="preserve">  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b5：</w:t>
      </w:r>
      <w:r>
        <w:rPr>
          <w:rFonts w:hint="eastAsia"/>
          <w:lang w:val="en-US" w:eastAsia="zh-CN"/>
        </w:rPr>
        <w:t>Pos1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(16位编码器)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b4：Out </w:t>
      </w:r>
      <w:r>
        <w:rPr>
          <w:rFonts w:hint="eastAsia"/>
          <w:lang w:val="en-US" w:eastAsia="zh-CN"/>
        </w:rPr>
        <w:t>(16位输出状态)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b3：ad</w:t>
      </w:r>
      <w:r>
        <w:rPr>
          <w:rFonts w:hint="eastAsia"/>
          <w:lang w:val="en-US" w:eastAsia="zh-CN"/>
        </w:rPr>
        <w:t>1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(16位AD)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b0: Reset,系统启动后，所有推送该位都置1，直到上位机发P+r</w:t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例如：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7E 4B 09 10 00 EE</w:t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去掉 7E协议包装，剩下 4B 09 10 00 10 00 EE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EE 是 CRC8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4B 09 10 00 10 00 是推送的数据包</w:t>
      </w:r>
    </w:p>
    <w:p>
      <w:r>
        <w:drawing>
          <wp:inline distT="0" distB="0" distL="114300" distR="114300">
            <wp:extent cx="5272405" cy="406400"/>
            <wp:effectExtent l="0" t="0" r="635" b="508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这是 推送的AD0，AD1数据包。 AD0=0x0010，AD1=0x0010,  systick=0x4B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当PT=1时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上位机-&gt;AD盒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上位机 向AD盒 获取 输入口状态，发送IGI指令 </w:t>
      </w:r>
    </w:p>
    <w:p>
      <w:pPr>
        <w:keepNext w:val="0"/>
        <w:keepLines w:val="0"/>
        <w:widowControl/>
        <w:suppressLineNumbers w:val="0"/>
        <w:shd w:val="clear" w:fill="FFFFFF"/>
        <w:spacing w:line="228" w:lineRule="atLeast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(IGI: </w:t>
      </w:r>
      <w:r>
        <w:rPr>
          <w:rFonts w:hint="eastAsia"/>
          <w:color w:val="FF0000"/>
          <w:lang w:val="en-US" w:eastAsia="zh-CN"/>
        </w:rPr>
        <w:t>I</w:t>
      </w:r>
      <w:r>
        <w:rPr>
          <w:rFonts w:hint="eastAsia"/>
          <w:color w:val="auto"/>
          <w:lang w:val="en-US" w:eastAsia="zh-CN"/>
        </w:rPr>
        <w:t>OC</w:t>
      </w:r>
      <w:r>
        <w:rPr>
          <w:rFonts w:hint="eastAsia"/>
          <w:lang w:val="en-US" w:eastAsia="zh-CN"/>
        </w:rPr>
        <w:t xml:space="preserve">omm </w:t>
      </w:r>
      <w:r>
        <w:rPr>
          <w:rFonts w:hint="default"/>
          <w:color w:val="FF0000"/>
          <w:lang w:val="en-US" w:eastAsia="zh-CN"/>
        </w:rPr>
        <w:t>G</w:t>
      </w:r>
      <w:r>
        <w:rPr>
          <w:rFonts w:hint="default"/>
          <w:lang w:val="en-US" w:eastAsia="zh-CN"/>
        </w:rPr>
        <w:t>et</w:t>
      </w:r>
      <w:r>
        <w:rPr>
          <w:rFonts w:hint="default"/>
          <w:color w:val="FF0000"/>
          <w:lang w:val="en-US" w:eastAsia="zh-CN"/>
        </w:rPr>
        <w:t>I</w:t>
      </w:r>
      <w:r>
        <w:rPr>
          <w:rFonts w:hint="default"/>
          <w:lang w:val="en-US" w:eastAsia="zh-CN"/>
        </w:rPr>
        <w:t>n</w:t>
      </w:r>
      <w:r>
        <w:rPr>
          <w:rFonts w:hint="eastAsia"/>
          <w:lang w:val="en-US" w:eastAsia="zh-CN"/>
        </w:rPr>
        <w:t>, ASCII 为 0x49，0x47，0x49)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2232660" cy="647700"/>
            <wp:effectExtent l="0" t="0" r="7620" b="762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3266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原指令为 : 80 49 47 49 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加上CRC8 : 80 49 47 49 85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7E包装后的发送报文: 7E 80 49 47 49 85 7E  (指令前后都应该加7E)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AD盒-&gt; 上位机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回复报文：7E 80 49 47 49 FF FF 79 7E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去掉 7E包装: 80 49 47 49 FF FF 79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验证CRC8后，剩余的指令 80 49 47 49 FF FF</w:t>
      </w:r>
    </w:p>
    <w:p>
      <w:r>
        <w:drawing>
          <wp:inline distT="0" distB="0" distL="114300" distR="114300">
            <wp:extent cx="2529840" cy="647700"/>
            <wp:effectExtent l="0" t="0" r="0" b="762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全部的指令码 查看 《AD盒B2协议.md》 文件</w:t>
      </w:r>
    </w:p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 《AD盒.2021.B2版客户端协议调试》软件可以比较方便调试协议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>
      <w:r>
        <w:drawing>
          <wp:inline distT="0" distB="0" distL="114300" distR="114300">
            <wp:extent cx="5269230" cy="4431665"/>
            <wp:effectExtent l="0" t="0" r="3810" b="317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43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只需要输入 指令的字符串，点【发送】即可。  当指令需要输入 32位数据，输入转译符号\4(xxxx),  括号填入10进制数值</w:t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直接输入16进制数值，为 byte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例如 ISO FF 00 05 00,  以空格为划分每节</w:t>
      </w:r>
    </w:p>
    <w:p>
      <w:pPr>
        <w:rPr>
          <w:rFonts w:hint="default"/>
          <w:lang w:val="en-US" w:eastAsia="zh-CN"/>
        </w:rPr>
      </w:pPr>
    </w:p>
    <w:tbl>
      <w:tblPr>
        <w:tblW w:w="2959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9"/>
        <w:gridCol w:w="168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2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转译符号</w:t>
            </w:r>
          </w:p>
        </w:tc>
        <w:tc>
          <w:tcPr>
            <w:tcW w:w="1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解释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2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\4</w:t>
            </w:r>
          </w:p>
        </w:tc>
        <w:tc>
          <w:tcPr>
            <w:tcW w:w="1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32位10进制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2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\2</w:t>
            </w:r>
          </w:p>
        </w:tc>
        <w:tc>
          <w:tcPr>
            <w:tcW w:w="1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16位10进制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2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\1</w:t>
            </w:r>
          </w:p>
        </w:tc>
        <w:tc>
          <w:tcPr>
            <w:tcW w:w="1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8位10进制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2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\s</w:t>
            </w:r>
          </w:p>
        </w:tc>
        <w:tc>
          <w:tcPr>
            <w:tcW w:w="1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字符串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2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\S</w:t>
            </w:r>
          </w:p>
        </w:tc>
        <w:tc>
          <w:tcPr>
            <w:tcW w:w="1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字符串</w:t>
            </w:r>
          </w:p>
        </w:tc>
      </w:tr>
    </w:tbl>
    <w:p/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sectPr>
      <w:footerReference r:id="rId5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  <w:font w:name="汉仪粗黑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微软雅黑 Light">
    <w:panose1 w:val="020B0502040204020203"/>
    <w:charset w:val="86"/>
    <w:family w:val="auto"/>
    <w:pitch w:val="default"/>
    <w:sig w:usb0="80000287" w:usb1="2ACF001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hint="default" w:eastAsiaTheme="minorEastAsia"/>
        <w:lang w:val="en-US"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3" name="文本框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val="en-US" w:eastAsia="zh-CN"/>
      </w:rPr>
      <w:t>佛山市枫莱尔自动化技术有限公司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hint="default" w:eastAsiaTheme="minorEastAsia"/>
        <w:lang w:val="en-US"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4" name="文本框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ptGXYzAgAAYwQAAA4AAABkcnMvZTJvRG9jLnhtbK1UzY7TMBC+I/EO&#10;lu80aRdWVd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EptGXY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val="en-US" w:eastAsia="zh-CN"/>
      </w:rPr>
      <w:t>佛山市枫莱尔自动化技术有限公司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rPr>
        <w:rFonts w:hint="default" w:eastAsiaTheme="minorEastAsia"/>
        <w:lang w:val="en-US" w:eastAsia="zh-CN"/>
      </w:rPr>
    </w:pPr>
    <w:r>
      <w:rPr>
        <w:rFonts w:hint="eastAsia"/>
        <w:lang w:val="en-US" w:eastAsia="zh-CN"/>
      </w:rPr>
      <w:t>FLYAD(B2版)数据采集器使用说明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E368CD0"/>
    <w:multiLevelType w:val="singleLevel"/>
    <w:tmpl w:val="7E368CD0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hjOTQ0N2Q1Zjk1ZDBjZDZkM2QxY2M1YzA1NmYwYzkifQ=="/>
  </w:docVars>
  <w:rsids>
    <w:rsidRoot w:val="00172A27"/>
    <w:rsid w:val="01CB3407"/>
    <w:rsid w:val="081F5D19"/>
    <w:rsid w:val="0BDC4026"/>
    <w:rsid w:val="0D1A69FC"/>
    <w:rsid w:val="103E4108"/>
    <w:rsid w:val="20700496"/>
    <w:rsid w:val="24F95FBC"/>
    <w:rsid w:val="25563BCC"/>
    <w:rsid w:val="27826579"/>
    <w:rsid w:val="282718E0"/>
    <w:rsid w:val="2D6A7DE3"/>
    <w:rsid w:val="30872E52"/>
    <w:rsid w:val="36ED7B4D"/>
    <w:rsid w:val="38E72B8B"/>
    <w:rsid w:val="3F7008EE"/>
    <w:rsid w:val="42FF3EBB"/>
    <w:rsid w:val="433E4148"/>
    <w:rsid w:val="53D63C1B"/>
    <w:rsid w:val="596B09AA"/>
    <w:rsid w:val="6F40597C"/>
    <w:rsid w:val="6F5E1DE2"/>
    <w:rsid w:val="74C70A5C"/>
    <w:rsid w:val="77DC095A"/>
    <w:rsid w:val="79247283"/>
    <w:rsid w:val="79537342"/>
    <w:rsid w:val="7CF006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0">
    <w:name w:val="Default Paragraph Font"/>
    <w:autoRedefine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uiPriority w:val="0"/>
  </w:style>
  <w:style w:type="table" w:styleId="9">
    <w:name w:val="Table Grid"/>
    <w:basedOn w:val="8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1">
    <w:name w:val="WPSOffice手动目录 1"/>
    <w:uiPriority w:val="0"/>
    <w:pPr>
      <w:ind w:leftChars="0"/>
    </w:pPr>
    <w:rPr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几何平面网格"/>
      <sectRole val="1"/>
    </customSectPr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0</Words>
  <Characters>0</Characters>
  <Lines>0</Lines>
  <Paragraphs>0</Paragraphs>
  <TotalTime>12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2020-02-13T03:23:00Z</dcterms:created>
  <dc:creator>咕咕</dc:creator>
  <cp:lastModifiedBy>WPS_128496558</cp:lastModifiedBy>
  <dcterms:modified xsi:type="dcterms:W3CDTF">2024-05-15T08:17:42Z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279513C22B7A4F28BFB556CA3B6751B4_12</vt:lpwstr>
  </property>
  <property fmtid="{D5CDD505-2E9C-101B-9397-08002B2CF9AE}" pid="4" name="KSOSaveFontToCloudKey">
    <vt:lpwstr>590610_btnclosed</vt:lpwstr>
  </property>
</Properties>
</file>